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微软雅黑" w:hAnsi="微软雅黑" w:eastAsia="微软雅黑" w:cs="微软雅黑"/>
          <w:b/>
          <w:color w:val="0D1E0F"/>
          <w:sz w:val="44"/>
          <w:szCs w:val="44"/>
        </w:rPr>
      </w:pPr>
      <w:bookmarkStart w:id="0" w:name="_GoBack"/>
      <w:r>
        <w:rPr>
          <w:rFonts w:hint="eastAsia" w:ascii="微软雅黑" w:hAnsi="微软雅黑" w:eastAsia="微软雅黑" w:cs="微软雅黑"/>
          <w:b/>
          <w:color w:val="0D1E0F"/>
          <w:sz w:val="44"/>
          <w:szCs w:val="44"/>
        </w:rPr>
        <w:t>公文写作理论与实践内训课纲 （1天）</w:t>
      </w:r>
    </w:p>
    <w:p>
      <w:pPr>
        <w:spacing w:line="120" w:lineRule="exact"/>
        <w:jc w:val="center"/>
        <w:rPr>
          <w:rFonts w:hint="eastAsia" w:ascii="微软雅黑" w:hAnsi="微软雅黑" w:eastAsia="微软雅黑" w:cs="微软雅黑"/>
          <w:color w:val="003366"/>
          <w:sz w:val="30"/>
          <w:szCs w:val="30"/>
        </w:rPr>
      </w:pPr>
    </w:p>
    <w:p>
      <w:pPr>
        <w:widowControl/>
        <w:spacing w:line="440" w:lineRule="exact"/>
        <w:jc w:val="center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主讲：胡斯可博士</w:t>
      </w:r>
    </w:p>
    <w:p>
      <w:pPr>
        <w:widowControl/>
        <w:spacing w:line="120" w:lineRule="exact"/>
        <w:jc w:val="center"/>
        <w:rPr>
          <w:rFonts w:hint="eastAsia" w:ascii="微软雅黑" w:hAnsi="微软雅黑" w:eastAsia="微软雅黑" w:cs="微软雅黑"/>
          <w:sz w:val="30"/>
          <w:szCs w:val="30"/>
        </w:rPr>
      </w:pPr>
    </w:p>
    <w:p>
      <w:pPr>
        <w:spacing w:line="480" w:lineRule="exact"/>
        <w:jc w:val="center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上篇  公文写作的基础与规范（串讲）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本部分内容将结合大量党政机关、国企公文实例辨别及纠错常见错误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  <w:t>1.1国家标准、公文文种及行文规则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1.1.1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对准看齐国标——公文的定义、公文处理的规范标准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1.1.2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法定公文文种——关于公文文种的常见误区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1.1.3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文种适用范围——熟悉文种与各自对应的功能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1.1.4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公文行文方向——科学分类，快速识记公文文种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1.1.5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选择正确文种——关键三步确保不犯常识性错误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  <w:t>1.2</w:t>
      </w:r>
      <w:r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  <w:t>《党政机关公文格式》</w:t>
      </w:r>
      <w:r>
        <w:rPr>
          <w:rFonts w:hint="eastAsia" w:ascii="微软雅黑" w:hAnsi="微软雅黑" w:eastAsia="微软雅黑" w:cs="微软雅黑"/>
          <w:b/>
          <w:sz w:val="24"/>
          <w:shd w:val="clear" w:color="auto" w:fill="FFFFFF"/>
        </w:rPr>
        <w:t>要点及案例释读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公文格式的板块——版头、主体、版记概说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1.2.2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版头部分的要素——份号、密级和保密期限、紧急程度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1.2.3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版头部分的要素——发文机关标志、发文字号、签发人、分隔线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1.2.4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主体部分的要素——标题的三要素及标题的拟写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1.2.5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主体部分的要素——公文标题拟写的特殊情况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1.2.6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主体部分的要素——主送机关、正文、附件说明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1.2.7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主体部分的要素——落款、附注、附件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1.2.8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主体部分的要素——落款标注位置的特殊情况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1.2.9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 xml:space="preserve">主体部分的要素——附件说明、附注、附件的区分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1.2.10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主体部分的要素——两种性质不同的附件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1.2.11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主体部分的要素——附件和版记的位置顺序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1.2.12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版记部分的要素——分隔线、抄送机关、印发机关及日期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1.2.13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容易忽略的数字——页码的标注大有讲究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1.2.14</w:t>
      </w:r>
      <w:r>
        <w:rPr>
          <w:rFonts w:hint="eastAsia" w:ascii="微软雅黑" w:hAnsi="微软雅黑" w:eastAsia="微软雅黑" w:cs="微软雅黑"/>
          <w:sz w:val="24"/>
          <w:shd w:val="clear" w:color="auto" w:fill="FFFFFF"/>
        </w:rPr>
        <w:t>有用处的统计表——便捷查阅各种格式要素的字体、字号</w:t>
      </w:r>
    </w:p>
    <w:p>
      <w:pPr>
        <w:spacing w:line="480" w:lineRule="exact"/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中篇  常用文书的谋篇布局及遣词造句</w:t>
      </w:r>
    </w:p>
    <w:p>
      <w:pPr>
        <w:spacing w:line="480" w:lineRule="exact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一、公文中的轻骑兵——4种通知的规范写法及模板导入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★</w:t>
      </w:r>
      <w:r>
        <w:rPr>
          <w:rFonts w:hint="eastAsia" w:ascii="微软雅黑" w:hAnsi="微软雅黑" w:eastAsia="微软雅黑" w:cs="微软雅黑"/>
          <w:sz w:val="24"/>
        </w:rPr>
        <w:t xml:space="preserve"> 4种通知正文的结构层次  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★</w:t>
      </w:r>
      <w:r>
        <w:rPr>
          <w:rFonts w:hint="eastAsia" w:ascii="微软雅黑" w:hAnsi="微软雅黑" w:eastAsia="微软雅黑" w:cs="微软雅黑"/>
          <w:sz w:val="24"/>
        </w:rPr>
        <w:t xml:space="preserve"> 重点：事项型通知中普适性极强的框架结构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引导语遣词造句技巧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背景、目的、依据的多种组合形式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“按照”和“根据”在引出发文依据时的功能区别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过渡语的承前启后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主体部分分条列项的要求：按内容细分段落、小标题概括引领</w:t>
      </w:r>
    </w:p>
    <w:p>
      <w:pPr>
        <w:spacing w:line="480" w:lineRule="exact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 xml:space="preserve">二、及时汇报知会领导——3种报告的规范写法及模板导入 </w:t>
      </w:r>
      <w:r>
        <w:rPr>
          <w:rFonts w:hint="eastAsia" w:ascii="微软雅黑" w:hAnsi="微软雅黑" w:eastAsia="微软雅黑" w:cs="微软雅黑"/>
          <w:sz w:val="24"/>
        </w:rPr>
        <w:t xml:space="preserve">      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★</w:t>
      </w:r>
      <w:r>
        <w:rPr>
          <w:rFonts w:hint="eastAsia" w:ascii="微软雅黑" w:hAnsi="微软雅黑" w:eastAsia="微软雅黑" w:cs="微软雅黑"/>
          <w:sz w:val="24"/>
        </w:rPr>
        <w:t xml:space="preserve"> 3种报告正文的结构层次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★</w:t>
      </w:r>
      <w:r>
        <w:rPr>
          <w:rFonts w:hint="eastAsia" w:ascii="微软雅黑" w:hAnsi="微软雅黑" w:eastAsia="微软雅黑" w:cs="微软雅黑"/>
          <w:sz w:val="24"/>
        </w:rPr>
        <w:t xml:space="preserve"> 工作报告写作的严密逻辑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引导语的行文逻辑解读：背景+统筹推进……+整体效果+过渡语</w:t>
      </w:r>
      <w:r>
        <w:rPr>
          <w:rFonts w:hint="eastAsia" w:ascii="微软雅黑" w:hAnsi="微软雅黑" w:eastAsia="微软雅黑" w:cs="微软雅黑"/>
          <w:sz w:val="24"/>
        </w:rPr>
        <w:cr/>
      </w:r>
      <w:r>
        <w:rPr>
          <w:rFonts w:hint="eastAsia" w:ascii="微软雅黑" w:hAnsi="微软雅黑" w:eastAsia="微软雅黑" w:cs="微软雅黑"/>
          <w:sz w:val="24"/>
        </w:rPr>
        <w:t xml:space="preserve">     </w:t>
      </w: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主体部分的框架结构：主要举措和成效、存在问题、下步工作思路</w:t>
      </w:r>
    </w:p>
    <w:p>
      <w:pPr>
        <w:spacing w:line="480" w:lineRule="exact"/>
        <w:ind w:firstLine="600" w:firstLineChars="25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小标题的画龙点睛：公文借助小标题从普通到出彩的形成过程示例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三、求助上级的好方式——请示的规范写法及模板导入（略）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</w:rPr>
      </w:pPr>
    </w:p>
    <w:p>
      <w:pPr>
        <w:spacing w:line="480" w:lineRule="exact"/>
        <w:ind w:firstLine="560" w:firstLineChars="200"/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下篇 公文文稿精细化修改的三个方向（略讲）</w:t>
      </w:r>
    </w:p>
    <w:p>
      <w:pPr>
        <w:spacing w:line="480" w:lineRule="exact"/>
        <w:ind w:firstLine="560" w:firstLineChars="200"/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 xml:space="preserve">        </w:t>
      </w:r>
      <w:r>
        <w:rPr>
          <w:rFonts w:hint="eastAsia" w:ascii="微软雅黑" w:hAnsi="微软雅黑" w:eastAsia="微软雅黑" w:cs="微软雅黑"/>
          <w:sz w:val="28"/>
          <w:szCs w:val="28"/>
        </w:rPr>
        <w:t xml:space="preserve"> ——宏观、中观、微观的多重把握</w:t>
      </w:r>
    </w:p>
    <w:p>
      <w:pPr>
        <w:spacing w:line="480" w:lineRule="exact"/>
        <w:ind w:left="479" w:leftChars="228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152400</wp:posOffset>
                </wp:positionV>
                <wp:extent cx="114300" cy="594360"/>
                <wp:effectExtent l="0" t="4445" r="19050" b="10795"/>
                <wp:wrapNone/>
                <wp:docPr id="2" name="右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594360"/>
                        </a:xfrm>
                        <a:prstGeom prst="rightBrace">
                          <a:avLst>
                            <a:gd name="adj1" fmla="val 433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144pt;margin-top:12pt;height:46.8pt;width:9pt;z-index:251659264;mso-width-relative:page;mso-height-relative:page;" filled="f" stroked="t" coordsize="21600,21600" o:gfxdata="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c3oLXYAAAA&#10;CgEAAA8AAAAAAAAAAQAgAAAAIgAAAGRycy9kb3ducmV2LnhtbFBLAQIUABQAAAAIAIdO4kB6Yvt4&#10;HQIAAEcEAAAOAAAAAAAAAAEAIAAAACcBAABkcnMvZTJvRG9jLnhtbFBLBQYAAAAABgAGAFkBAAC2&#10;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结构内容是否完整</w:t>
      </w:r>
      <w:r>
        <w:rPr>
          <w:rFonts w:hint="eastAsia" w:ascii="微软雅黑" w:hAnsi="微软雅黑" w:eastAsia="微软雅黑" w:cs="微软雅黑"/>
          <w:sz w:val="24"/>
        </w:rPr>
        <w:cr/>
      </w: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逻辑顺序是否严谨        公文初稿和修改成稿的直观对比阐释</w:t>
      </w:r>
      <w:r>
        <w:rPr>
          <w:rFonts w:hint="eastAsia" w:ascii="微软雅黑" w:hAnsi="微软雅黑" w:eastAsia="微软雅黑" w:cs="微软雅黑"/>
          <w:sz w:val="24"/>
        </w:rPr>
        <w:cr/>
      </w:r>
      <w:r>
        <w:rPr>
          <w:rFonts w:hint="eastAsia" w:ascii="微软雅黑" w:hAnsi="微软雅黑" w:eastAsia="微软雅黑" w:cs="微软雅黑"/>
          <w:sz w:val="24"/>
        </w:rPr>
        <w:sym w:font="Symbol" w:char="F02A"/>
      </w:r>
      <w:r>
        <w:rPr>
          <w:rFonts w:hint="eastAsia" w:ascii="微软雅黑" w:hAnsi="微软雅黑" w:eastAsia="微软雅黑" w:cs="微软雅黑"/>
          <w:sz w:val="24"/>
        </w:rPr>
        <w:t xml:space="preserve"> 语言是否准确简洁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0B9E6B40"/>
    <w:rsid w:val="0B9E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2023-11-02T08:19:00Z</dcterms:created>
  <dc:creator>谭艳15986792547</dc:creator>
  <cp:lastModifiedBy>谭艳15986792547</cp:lastModifiedBy>
  <dcterms:modified xsi:type="dcterms:W3CDTF">2023-11-02T08:20:00Z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B2E3756E9A0143D3A3C810DED29B390E_11</vt:lpwstr>
  </property>
</Properties>
</file>